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F32" w:rsidRDefault="007F2F32" w:rsidP="00EE3482">
      <w:pPr>
        <w:pStyle w:val="BodyText"/>
        <w:jc w:val="both"/>
        <w:rPr>
          <w:lang w:val="en-US"/>
        </w:rPr>
      </w:pPr>
      <w:bookmarkStart w:id="0" w:name="_GoBack"/>
      <w:bookmarkEnd w:id="0"/>
      <w:r>
        <w:rPr>
          <w:lang w:val="en-US"/>
        </w:rPr>
        <w:t xml:space="preserve">Adapting Mediterranean forests to climate change and ozone </w:t>
      </w:r>
    </w:p>
    <w:p w:rsidR="007F2F32" w:rsidRDefault="007F2F32" w:rsidP="00EE3482">
      <w:pPr>
        <w:pStyle w:val="BodyText"/>
        <w:jc w:val="both"/>
        <w:rPr>
          <w:lang w:val="en-US"/>
        </w:rPr>
      </w:pPr>
    </w:p>
    <w:p w:rsidR="007F2F32" w:rsidRPr="00071AD4" w:rsidRDefault="007F2F32" w:rsidP="00EE3482">
      <w:pPr>
        <w:pStyle w:val="BodyText"/>
        <w:jc w:val="both"/>
        <w:rPr>
          <w:b w:val="0"/>
          <w:sz w:val="22"/>
          <w:szCs w:val="22"/>
          <w:lang w:val="it-IT"/>
        </w:rPr>
      </w:pPr>
      <w:r>
        <w:rPr>
          <w:b w:val="0"/>
          <w:sz w:val="22"/>
          <w:szCs w:val="22"/>
          <w:lang w:val="it-IT"/>
        </w:rPr>
        <w:t>P.</w:t>
      </w:r>
      <w:r w:rsidRPr="00032BD4">
        <w:rPr>
          <w:b w:val="0"/>
          <w:sz w:val="22"/>
          <w:szCs w:val="22"/>
          <w:lang w:val="it-IT"/>
        </w:rPr>
        <w:t>SICARD</w:t>
      </w:r>
      <w:r>
        <w:rPr>
          <w:sz w:val="22"/>
          <w:szCs w:val="22"/>
          <w:lang w:val="it-IT"/>
        </w:rPr>
        <w:t xml:space="preserve"> </w:t>
      </w:r>
      <w:r w:rsidRPr="00071AD4">
        <w:rPr>
          <w:sz w:val="22"/>
          <w:szCs w:val="22"/>
          <w:vertAlign w:val="superscript"/>
          <w:lang w:val="it-IT"/>
        </w:rPr>
        <w:t>1</w:t>
      </w:r>
      <w:r>
        <w:rPr>
          <w:sz w:val="22"/>
          <w:szCs w:val="22"/>
          <w:vertAlign w:val="superscript"/>
          <w:lang w:val="it-IT"/>
        </w:rPr>
        <w:t>*</w:t>
      </w:r>
      <w:r w:rsidRPr="00071AD4">
        <w:rPr>
          <w:b w:val="0"/>
          <w:sz w:val="22"/>
          <w:szCs w:val="22"/>
          <w:lang w:val="it-IT"/>
        </w:rPr>
        <w:t>, A</w:t>
      </w:r>
      <w:r>
        <w:rPr>
          <w:b w:val="0"/>
          <w:sz w:val="22"/>
          <w:szCs w:val="22"/>
          <w:lang w:val="it-IT"/>
        </w:rPr>
        <w:t>.</w:t>
      </w:r>
      <w:r w:rsidRPr="00071AD4">
        <w:rPr>
          <w:b w:val="0"/>
          <w:sz w:val="22"/>
          <w:szCs w:val="22"/>
          <w:lang w:val="it-IT"/>
        </w:rPr>
        <w:t xml:space="preserve"> D</w:t>
      </w:r>
      <w:r>
        <w:rPr>
          <w:b w:val="0"/>
          <w:sz w:val="22"/>
          <w:szCs w:val="22"/>
          <w:lang w:val="it-IT"/>
        </w:rPr>
        <w:t>E</w:t>
      </w:r>
      <w:r w:rsidRPr="00071AD4">
        <w:rPr>
          <w:b w:val="0"/>
          <w:sz w:val="22"/>
          <w:szCs w:val="22"/>
          <w:lang w:val="it-IT"/>
        </w:rPr>
        <w:t xml:space="preserve"> M</w:t>
      </w:r>
      <w:r>
        <w:rPr>
          <w:b w:val="0"/>
          <w:sz w:val="22"/>
          <w:szCs w:val="22"/>
          <w:lang w:val="it-IT"/>
        </w:rPr>
        <w:t>ARCO</w:t>
      </w:r>
      <w:r w:rsidRPr="00071AD4">
        <w:rPr>
          <w:b w:val="0"/>
          <w:sz w:val="22"/>
          <w:szCs w:val="22"/>
          <w:lang w:val="it-IT"/>
        </w:rPr>
        <w:t xml:space="preserve"> </w:t>
      </w:r>
      <w:r w:rsidRPr="00071AD4">
        <w:rPr>
          <w:b w:val="0"/>
          <w:sz w:val="22"/>
          <w:szCs w:val="22"/>
          <w:vertAlign w:val="superscript"/>
          <w:lang w:val="it-IT"/>
        </w:rPr>
        <w:t>2</w:t>
      </w:r>
      <w:r w:rsidRPr="00071AD4">
        <w:rPr>
          <w:b w:val="0"/>
          <w:sz w:val="22"/>
          <w:szCs w:val="22"/>
          <w:lang w:val="it-IT"/>
        </w:rPr>
        <w:t>, E</w:t>
      </w:r>
      <w:r>
        <w:rPr>
          <w:b w:val="0"/>
          <w:sz w:val="22"/>
          <w:szCs w:val="22"/>
          <w:lang w:val="it-IT"/>
        </w:rPr>
        <w:t>. PAOLETTI</w:t>
      </w:r>
      <w:r w:rsidRPr="00071AD4">
        <w:rPr>
          <w:b w:val="0"/>
          <w:sz w:val="22"/>
          <w:szCs w:val="22"/>
          <w:lang w:val="it-IT"/>
        </w:rPr>
        <w:t xml:space="preserve"> </w:t>
      </w:r>
      <w:r w:rsidRPr="00071AD4">
        <w:rPr>
          <w:b w:val="0"/>
          <w:sz w:val="22"/>
          <w:szCs w:val="22"/>
          <w:vertAlign w:val="superscript"/>
          <w:lang w:val="it-IT"/>
        </w:rPr>
        <w:t>3</w:t>
      </w:r>
      <w:r>
        <w:rPr>
          <w:b w:val="0"/>
          <w:sz w:val="22"/>
          <w:szCs w:val="22"/>
          <w:lang w:val="it-IT"/>
        </w:rPr>
        <w:t>, N. VAS</w:t>
      </w:r>
      <w:r w:rsidRPr="00071AD4">
        <w:rPr>
          <w:b w:val="0"/>
          <w:sz w:val="22"/>
          <w:szCs w:val="22"/>
          <w:lang w:val="it-IT"/>
        </w:rPr>
        <w:t xml:space="preserve"> </w:t>
      </w:r>
      <w:r>
        <w:rPr>
          <w:b w:val="0"/>
          <w:sz w:val="22"/>
          <w:szCs w:val="22"/>
          <w:vertAlign w:val="superscript"/>
          <w:lang w:val="it-IT"/>
        </w:rPr>
        <w:t>4</w:t>
      </w:r>
      <w:r>
        <w:rPr>
          <w:b w:val="0"/>
          <w:sz w:val="22"/>
          <w:szCs w:val="22"/>
          <w:vertAlign w:val="subscript"/>
          <w:lang w:val="it-IT"/>
        </w:rPr>
        <w:t xml:space="preserve">, </w:t>
      </w:r>
      <w:r>
        <w:rPr>
          <w:b w:val="0"/>
          <w:sz w:val="22"/>
          <w:szCs w:val="22"/>
          <w:lang w:val="it-IT"/>
        </w:rPr>
        <w:t>C. RENOU</w:t>
      </w:r>
      <w:r w:rsidRPr="00071AD4">
        <w:rPr>
          <w:b w:val="0"/>
          <w:sz w:val="22"/>
          <w:szCs w:val="22"/>
          <w:lang w:val="it-IT"/>
        </w:rPr>
        <w:t xml:space="preserve"> </w:t>
      </w:r>
      <w:r>
        <w:rPr>
          <w:b w:val="0"/>
          <w:sz w:val="22"/>
          <w:szCs w:val="22"/>
          <w:vertAlign w:val="superscript"/>
          <w:lang w:val="it-IT"/>
        </w:rPr>
        <w:t>1</w:t>
      </w:r>
    </w:p>
    <w:p w:rsidR="007F2F32" w:rsidRPr="00D13494" w:rsidRDefault="007F2F32" w:rsidP="00EE3482">
      <w:pPr>
        <w:jc w:val="both"/>
        <w:rPr>
          <w:sz w:val="22"/>
          <w:szCs w:val="22"/>
          <w:lang w:val="it-IT"/>
        </w:rPr>
      </w:pPr>
    </w:p>
    <w:p w:rsidR="007F2F32" w:rsidRPr="00032BD4" w:rsidRDefault="007F2F32" w:rsidP="00EE3482">
      <w:pPr>
        <w:pStyle w:val="BodyText2"/>
        <w:rPr>
          <w:i/>
          <w:sz w:val="20"/>
          <w:szCs w:val="20"/>
          <w:lang w:val="it-IT"/>
        </w:rPr>
      </w:pPr>
      <w:r w:rsidRPr="00032BD4">
        <w:rPr>
          <w:i/>
          <w:sz w:val="20"/>
          <w:szCs w:val="20"/>
          <w:vertAlign w:val="superscript"/>
          <w:lang w:val="it-IT"/>
        </w:rPr>
        <w:t>1</w:t>
      </w:r>
      <w:r w:rsidRPr="00032BD4">
        <w:rPr>
          <w:b/>
          <w:i/>
          <w:sz w:val="20"/>
          <w:szCs w:val="20"/>
          <w:vertAlign w:val="superscript"/>
          <w:lang w:val="it-IT"/>
        </w:rPr>
        <w:t xml:space="preserve"> </w:t>
      </w:r>
      <w:r w:rsidRPr="00032BD4">
        <w:rPr>
          <w:i/>
          <w:sz w:val="20"/>
          <w:szCs w:val="20"/>
          <w:lang w:val="it-IT"/>
        </w:rPr>
        <w:t>ACRI-ST, Sophia Antipolis, France</w:t>
      </w:r>
    </w:p>
    <w:p w:rsidR="007F2F32" w:rsidRPr="00032BD4" w:rsidRDefault="007F2F32" w:rsidP="00EE3482">
      <w:pPr>
        <w:pStyle w:val="BodyText2"/>
        <w:rPr>
          <w:i/>
          <w:sz w:val="20"/>
          <w:szCs w:val="20"/>
        </w:rPr>
      </w:pPr>
      <w:r w:rsidRPr="00032BD4">
        <w:rPr>
          <w:i/>
          <w:sz w:val="20"/>
          <w:szCs w:val="20"/>
          <w:vertAlign w:val="superscript"/>
        </w:rPr>
        <w:t>2</w:t>
      </w:r>
      <w:r w:rsidRPr="00032BD4">
        <w:rPr>
          <w:i/>
          <w:sz w:val="20"/>
          <w:szCs w:val="20"/>
        </w:rPr>
        <w:t xml:space="preserve"> Italian National Agency for New Technologies, Energy and Sustainable Economic Development, </w:t>
      </w:r>
      <w:smartTag w:uri="urn:schemas-microsoft-com:office:smarttags" w:element="place">
        <w:smartTag w:uri="urn:schemas-microsoft-com:office:smarttags" w:element="City">
          <w:r w:rsidRPr="00032BD4">
            <w:rPr>
              <w:i/>
              <w:sz w:val="20"/>
              <w:szCs w:val="20"/>
            </w:rPr>
            <w:t>Roma</w:t>
          </w:r>
        </w:smartTag>
        <w:r w:rsidRPr="00032BD4">
          <w:rPr>
            <w:i/>
            <w:sz w:val="20"/>
            <w:szCs w:val="20"/>
          </w:rPr>
          <w:t xml:space="preserve">, </w:t>
        </w:r>
        <w:smartTag w:uri="urn:schemas-microsoft-com:office:smarttags" w:element="country-region">
          <w:r w:rsidRPr="00032BD4">
            <w:rPr>
              <w:i/>
              <w:sz w:val="20"/>
              <w:szCs w:val="20"/>
            </w:rPr>
            <w:t>Italy</w:t>
          </w:r>
        </w:smartTag>
      </w:smartTag>
    </w:p>
    <w:p w:rsidR="007F2F32" w:rsidRPr="00032BD4" w:rsidRDefault="007F2F32" w:rsidP="00EE3482">
      <w:pPr>
        <w:pStyle w:val="BodyText2"/>
        <w:rPr>
          <w:i/>
          <w:sz w:val="20"/>
          <w:szCs w:val="20"/>
          <w:lang w:val="it-IT"/>
        </w:rPr>
      </w:pPr>
      <w:r w:rsidRPr="00032BD4">
        <w:rPr>
          <w:i/>
          <w:sz w:val="20"/>
          <w:szCs w:val="20"/>
          <w:vertAlign w:val="superscript"/>
          <w:lang w:val="it-IT"/>
        </w:rPr>
        <w:t>3</w:t>
      </w:r>
      <w:r w:rsidRPr="00032BD4">
        <w:rPr>
          <w:i/>
          <w:sz w:val="20"/>
          <w:szCs w:val="20"/>
          <w:lang w:val="it-IT"/>
        </w:rPr>
        <w:t xml:space="preserve"> Consiglio Nazionale delle Ricerche - Istituto per la Protezione delle Piante, Sesto Fiorentino, Italy</w:t>
      </w:r>
    </w:p>
    <w:p w:rsidR="007F2F32" w:rsidRDefault="007F2F32" w:rsidP="00EE3482">
      <w:pPr>
        <w:pStyle w:val="BodyText2"/>
        <w:rPr>
          <w:i/>
          <w:sz w:val="20"/>
          <w:szCs w:val="20"/>
          <w:lang w:val="fr-FR"/>
        </w:rPr>
      </w:pPr>
      <w:r w:rsidRPr="00032BD4">
        <w:rPr>
          <w:i/>
          <w:sz w:val="20"/>
          <w:szCs w:val="20"/>
          <w:vertAlign w:val="superscript"/>
          <w:lang w:val="fr-FR"/>
        </w:rPr>
        <w:t xml:space="preserve">4 </w:t>
      </w:r>
      <w:r w:rsidRPr="00032BD4">
        <w:rPr>
          <w:i/>
          <w:sz w:val="20"/>
          <w:szCs w:val="20"/>
          <w:lang w:val="fr-FR"/>
        </w:rPr>
        <w:t>Groupe International d’Etudes des Forêts Sud-européennes, Nice, France</w:t>
      </w:r>
    </w:p>
    <w:p w:rsidR="007F2F32" w:rsidRDefault="007F2F32" w:rsidP="00EE3482">
      <w:pPr>
        <w:pStyle w:val="BodyText2"/>
        <w:rPr>
          <w:i/>
          <w:sz w:val="20"/>
          <w:szCs w:val="20"/>
          <w:lang w:val="fr-FR"/>
        </w:rPr>
      </w:pPr>
    </w:p>
    <w:p w:rsidR="007F2F32" w:rsidRPr="00032BD4" w:rsidRDefault="007F2F32" w:rsidP="00032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0"/>
          <w:szCs w:val="20"/>
        </w:rPr>
      </w:pPr>
      <w:r w:rsidRPr="00032BD4">
        <w:rPr>
          <w:sz w:val="20"/>
          <w:szCs w:val="20"/>
        </w:rPr>
        <w:t xml:space="preserve">Corresponding author: </w:t>
      </w:r>
      <w:hyperlink r:id="rId4" w:history="1">
        <w:r w:rsidRPr="00032BD4">
          <w:rPr>
            <w:rStyle w:val="Hyperlink"/>
            <w:sz w:val="20"/>
            <w:szCs w:val="20"/>
            <w:lang w:val="en-US"/>
          </w:rPr>
          <w:t>pierre.sicard@acri-st.fr</w:t>
        </w:r>
      </w:hyperlink>
    </w:p>
    <w:p w:rsidR="007F2F32" w:rsidRPr="00032BD4" w:rsidRDefault="007F2F32" w:rsidP="00EE3482">
      <w:pPr>
        <w:pStyle w:val="BodyText2"/>
        <w:rPr>
          <w:sz w:val="22"/>
          <w:szCs w:val="22"/>
          <w:lang w:val="en-GB"/>
        </w:rPr>
      </w:pPr>
    </w:p>
    <w:p w:rsidR="007F2F32" w:rsidRPr="00032BD4" w:rsidRDefault="007F2F32" w:rsidP="00EE3482">
      <w:pPr>
        <w:autoSpaceDE w:val="0"/>
        <w:autoSpaceDN w:val="0"/>
        <w:adjustRightInd w:val="0"/>
        <w:jc w:val="both"/>
      </w:pPr>
    </w:p>
    <w:p w:rsidR="007F2F32" w:rsidRPr="00032BD4" w:rsidRDefault="007F2F32" w:rsidP="00EE3482">
      <w:pPr>
        <w:autoSpaceDE w:val="0"/>
        <w:autoSpaceDN w:val="0"/>
        <w:adjustRightInd w:val="0"/>
        <w:jc w:val="both"/>
        <w:rPr>
          <w:sz w:val="22"/>
          <w:szCs w:val="22"/>
          <w:lang w:val="en-US"/>
        </w:rPr>
      </w:pPr>
      <w:r w:rsidRPr="00032BD4">
        <w:rPr>
          <w:sz w:val="22"/>
          <w:szCs w:val="22"/>
          <w:lang w:val="en-US"/>
        </w:rPr>
        <w:t>Ground-level ozone (O</w:t>
      </w:r>
      <w:r w:rsidRPr="00032BD4">
        <w:rPr>
          <w:sz w:val="22"/>
          <w:szCs w:val="22"/>
          <w:vertAlign w:val="subscript"/>
          <w:lang w:val="en-US"/>
        </w:rPr>
        <w:t>3</w:t>
      </w:r>
      <w:r w:rsidRPr="00032BD4">
        <w:rPr>
          <w:sz w:val="22"/>
          <w:szCs w:val="22"/>
          <w:lang w:val="en-US"/>
        </w:rPr>
        <w:t>) is an important atmospheric pollutant, a pressing sanitary problem for human and ecosystem health, and a serious climate forcer. T</w:t>
      </w:r>
      <w:r w:rsidRPr="00032BD4">
        <w:rPr>
          <w:rFonts w:eastAsia="Times New Roman"/>
          <w:sz w:val="22"/>
          <w:szCs w:val="22"/>
          <w:lang w:val="en-US"/>
        </w:rPr>
        <w:t>he European region at highest O</w:t>
      </w:r>
      <w:r w:rsidRPr="00032BD4">
        <w:rPr>
          <w:rFonts w:eastAsia="Times New Roman"/>
          <w:sz w:val="22"/>
          <w:szCs w:val="22"/>
          <w:vertAlign w:val="subscript"/>
          <w:lang w:val="en-US"/>
        </w:rPr>
        <w:t>3</w:t>
      </w:r>
      <w:r w:rsidRPr="00032BD4">
        <w:rPr>
          <w:rFonts w:eastAsia="Times New Roman"/>
          <w:sz w:val="22"/>
          <w:szCs w:val="22"/>
          <w:lang w:val="en-US"/>
        </w:rPr>
        <w:t xml:space="preserve"> risk is the Mediterranean area</w:t>
      </w:r>
      <w:r w:rsidRPr="00032BD4">
        <w:rPr>
          <w:sz w:val="22"/>
          <w:szCs w:val="22"/>
          <w:lang w:val="en-US"/>
        </w:rPr>
        <w:t xml:space="preserve">. Indeed, the climate change is expected to be more pronounced in the </w:t>
      </w:r>
      <w:smartTag w:uri="urn:schemas-microsoft-com:office:smarttags" w:element="place">
        <w:smartTag w:uri="urn:schemas-microsoft-com:office:smarttags" w:element="PlaceName">
          <w:r w:rsidRPr="00032BD4">
            <w:rPr>
              <w:sz w:val="22"/>
              <w:szCs w:val="22"/>
              <w:lang w:val="en-US"/>
            </w:rPr>
            <w:t>Mediterranean</w:t>
          </w:r>
        </w:smartTag>
        <w:r w:rsidRPr="00032BD4">
          <w:rPr>
            <w:sz w:val="22"/>
            <w:szCs w:val="22"/>
            <w:lang w:val="en-US"/>
          </w:rPr>
          <w:t xml:space="preserve"> </w:t>
        </w:r>
        <w:smartTag w:uri="urn:schemas-microsoft-com:office:smarttags" w:element="PlaceType">
          <w:r w:rsidRPr="00032BD4">
            <w:rPr>
              <w:sz w:val="22"/>
              <w:szCs w:val="22"/>
              <w:lang w:val="en-US"/>
            </w:rPr>
            <w:t>Basin</w:t>
          </w:r>
        </w:smartTag>
      </w:smartTag>
      <w:r w:rsidRPr="00032BD4">
        <w:rPr>
          <w:sz w:val="22"/>
          <w:szCs w:val="22"/>
          <w:lang w:val="en-US"/>
        </w:rPr>
        <w:t xml:space="preserve"> than in most other regions of the world</w:t>
      </w:r>
      <w:r w:rsidRPr="00032BD4">
        <w:rPr>
          <w:rFonts w:eastAsia="Times New Roman"/>
          <w:sz w:val="22"/>
          <w:szCs w:val="22"/>
          <w:lang w:val="en-US"/>
        </w:rPr>
        <w:t xml:space="preserve">. </w:t>
      </w:r>
      <w:r w:rsidRPr="00032BD4">
        <w:rPr>
          <w:sz w:val="22"/>
          <w:szCs w:val="22"/>
          <w:lang w:val="en-US"/>
        </w:rPr>
        <w:t xml:space="preserve">In the Western European Mediterranean area, we demonstrated for the first time that the ozone control measures are effective at rural sites, while </w:t>
      </w:r>
      <w:r w:rsidRPr="00032BD4">
        <w:rPr>
          <w:rFonts w:eastAsia="Times New Roman"/>
          <w:sz w:val="22"/>
          <w:szCs w:val="22"/>
          <w:lang w:val="en-US"/>
        </w:rPr>
        <w:t>O</w:t>
      </w:r>
      <w:r w:rsidRPr="00032BD4">
        <w:rPr>
          <w:rFonts w:eastAsia="Times New Roman"/>
          <w:sz w:val="22"/>
          <w:szCs w:val="22"/>
          <w:vertAlign w:val="subscript"/>
          <w:lang w:val="en-US"/>
        </w:rPr>
        <w:t>3</w:t>
      </w:r>
      <w:r w:rsidRPr="00032BD4">
        <w:rPr>
          <w:sz w:val="22"/>
          <w:szCs w:val="22"/>
          <w:lang w:val="en-US"/>
        </w:rPr>
        <w:t xml:space="preserve"> levels are still increasing in the cities over the time period 2000-2010. This result is challenging the traditional knowledge about </w:t>
      </w:r>
      <w:r w:rsidRPr="00032BD4">
        <w:rPr>
          <w:rFonts w:eastAsia="Times New Roman"/>
          <w:sz w:val="22"/>
          <w:szCs w:val="22"/>
          <w:lang w:val="en-US"/>
        </w:rPr>
        <w:t>O</w:t>
      </w:r>
      <w:r w:rsidRPr="00032BD4">
        <w:rPr>
          <w:rFonts w:eastAsia="Times New Roman"/>
          <w:sz w:val="22"/>
          <w:szCs w:val="22"/>
          <w:vertAlign w:val="subscript"/>
          <w:lang w:val="en-US"/>
        </w:rPr>
        <w:t>3</w:t>
      </w:r>
      <w:r w:rsidRPr="00032BD4">
        <w:rPr>
          <w:sz w:val="22"/>
          <w:szCs w:val="22"/>
          <w:lang w:val="en-US"/>
        </w:rPr>
        <w:t xml:space="preserve"> pollution.</w:t>
      </w:r>
    </w:p>
    <w:p w:rsidR="007F2F32" w:rsidRPr="00032BD4" w:rsidRDefault="007F2F32" w:rsidP="00EE3482">
      <w:pPr>
        <w:autoSpaceDE w:val="0"/>
        <w:autoSpaceDN w:val="0"/>
        <w:adjustRightInd w:val="0"/>
        <w:jc w:val="both"/>
        <w:rPr>
          <w:sz w:val="22"/>
          <w:szCs w:val="22"/>
          <w:lang w:val="en-US"/>
        </w:rPr>
      </w:pPr>
    </w:p>
    <w:p w:rsidR="007F2F32" w:rsidRPr="00032BD4" w:rsidRDefault="007F2F32" w:rsidP="00EE3482">
      <w:pPr>
        <w:autoSpaceDE w:val="0"/>
        <w:autoSpaceDN w:val="0"/>
        <w:adjustRightInd w:val="0"/>
        <w:jc w:val="both"/>
        <w:rPr>
          <w:sz w:val="22"/>
          <w:szCs w:val="22"/>
          <w:lang w:val="en-US"/>
        </w:rPr>
      </w:pPr>
      <w:r w:rsidRPr="00032BD4">
        <w:rPr>
          <w:sz w:val="22"/>
          <w:szCs w:val="22"/>
          <w:lang w:val="en-US"/>
        </w:rPr>
        <w:t>To date, most experiments to establish biologically relevant plant responses to ozone have been performed under controlled conditions, not representative of actual field conditions, and the results may not provide realistic results for developing standards. An assessment based on phytotoxic ozone dose (PODY) and on real plant damage is more appropriate. The LIFE+ FO</w:t>
      </w:r>
      <w:r w:rsidRPr="00032BD4">
        <w:rPr>
          <w:sz w:val="22"/>
          <w:szCs w:val="22"/>
          <w:vertAlign w:val="subscript"/>
          <w:lang w:val="en-US"/>
        </w:rPr>
        <w:t>3</w:t>
      </w:r>
      <w:r w:rsidRPr="00032BD4">
        <w:rPr>
          <w:sz w:val="22"/>
          <w:szCs w:val="22"/>
          <w:lang w:val="en-US"/>
        </w:rPr>
        <w:t xml:space="preserve">REST project allows testing the current exposure-based critical levels (AOT40) and suggesting new ozone flux-based critical levels for Mediterranean forest protection against ozone pollution. A field survey of ozone-induced symptoms was carried out (ICP-Forests protocol) in 54 plots in Southeastern France and </w:t>
      </w:r>
      <w:smartTag w:uri="urn:schemas-microsoft-com:office:smarttags" w:element="place">
        <w:r w:rsidRPr="00032BD4">
          <w:rPr>
            <w:sz w:val="22"/>
            <w:szCs w:val="22"/>
            <w:lang w:val="en-US"/>
          </w:rPr>
          <w:t>Northwestern Italy</w:t>
        </w:r>
      </w:smartTag>
      <w:r w:rsidRPr="00032BD4">
        <w:rPr>
          <w:sz w:val="22"/>
          <w:szCs w:val="22"/>
          <w:lang w:val="en-US"/>
        </w:rPr>
        <w:t xml:space="preserve">. </w:t>
      </w:r>
      <w:r w:rsidRPr="00032BD4">
        <w:rPr>
          <w:sz w:val="22"/>
          <w:szCs w:val="22"/>
        </w:rPr>
        <w:t>Stomatal ozone fluxes were modelled and correlated to real-world forest impacts in terms of visible injury</w:t>
      </w:r>
      <w:r w:rsidRPr="00032BD4">
        <w:rPr>
          <w:rFonts w:ascii="Calibri" w:eastAsia="PMingLiU" w:hAnsi="Calibri"/>
          <w:kern w:val="24"/>
          <w:sz w:val="22"/>
          <w:szCs w:val="22"/>
          <w:lang w:val="en-US"/>
        </w:rPr>
        <w:t xml:space="preserve"> </w:t>
      </w:r>
      <w:r w:rsidRPr="00032BD4">
        <w:rPr>
          <w:sz w:val="22"/>
          <w:szCs w:val="22"/>
          <w:lang w:val="en-US"/>
        </w:rPr>
        <w:t xml:space="preserve">(stippling/mottling, crown discoloration and leaf loss) in 2012 and 2013. The indicators POD0 and POD1 were calculated thanks to the DO3SE model using the available parameterization for </w:t>
      </w:r>
      <w:smartTag w:uri="urn:schemas-microsoft-com:office:smarttags" w:element="place">
        <w:r w:rsidRPr="00032BD4">
          <w:rPr>
            <w:sz w:val="22"/>
            <w:szCs w:val="22"/>
            <w:lang w:val="en-US"/>
          </w:rPr>
          <w:t>Mediterranean</w:t>
        </w:r>
      </w:smartTag>
      <w:r w:rsidRPr="00032BD4">
        <w:rPr>
          <w:sz w:val="22"/>
          <w:szCs w:val="22"/>
          <w:lang w:val="en-US"/>
        </w:rPr>
        <w:t xml:space="preserve"> and continental deciduous broadleaf forests and conifers.</w:t>
      </w:r>
      <w:r w:rsidRPr="00032BD4">
        <w:rPr>
          <w:rFonts w:ascii="Calibri" w:eastAsia="PMingLiU" w:hAnsi="Calibri"/>
          <w:b/>
          <w:bCs/>
          <w:color w:val="000000"/>
          <w:kern w:val="24"/>
          <w:sz w:val="22"/>
          <w:szCs w:val="22"/>
          <w:lang w:val="en-US"/>
        </w:rPr>
        <w:t xml:space="preserve"> </w:t>
      </w:r>
      <w:r w:rsidRPr="00032BD4">
        <w:rPr>
          <w:sz w:val="22"/>
          <w:szCs w:val="22"/>
          <w:lang w:val="en-US"/>
        </w:rPr>
        <w:t>Spearman test was carried out to understand the relative contribution of O</w:t>
      </w:r>
      <w:r w:rsidRPr="00032BD4">
        <w:rPr>
          <w:sz w:val="22"/>
          <w:szCs w:val="22"/>
          <w:vertAlign w:val="subscript"/>
          <w:lang w:val="en-US"/>
        </w:rPr>
        <w:t>3</w:t>
      </w:r>
      <w:r w:rsidRPr="00032BD4">
        <w:rPr>
          <w:sz w:val="22"/>
          <w:szCs w:val="22"/>
          <w:lang w:val="en-US"/>
        </w:rPr>
        <w:t xml:space="preserve"> (concentrations or stomatal uptake) to visible injury occurrence.</w:t>
      </w:r>
      <w:r w:rsidRPr="00032BD4">
        <w:rPr>
          <w:rFonts w:eastAsia="Times New Roman"/>
          <w:sz w:val="22"/>
          <w:szCs w:val="22"/>
          <w:lang w:val="en-US"/>
        </w:rPr>
        <w:t xml:space="preserve"> </w:t>
      </w:r>
      <w:r w:rsidRPr="00032BD4">
        <w:rPr>
          <w:sz w:val="22"/>
          <w:szCs w:val="22"/>
          <w:lang w:val="en-US"/>
        </w:rPr>
        <w:t>From</w:t>
      </w:r>
      <w:r w:rsidRPr="00032BD4">
        <w:rPr>
          <w:rFonts w:eastAsia="Times New Roman"/>
          <w:sz w:val="22"/>
          <w:szCs w:val="22"/>
          <w:lang w:val="en-US"/>
        </w:rPr>
        <w:t xml:space="preserve"> the flux-effect relationships we derived and proposed new </w:t>
      </w:r>
      <w:r w:rsidRPr="00032BD4">
        <w:rPr>
          <w:sz w:val="22"/>
          <w:szCs w:val="22"/>
          <w:lang w:val="en-US"/>
        </w:rPr>
        <w:t xml:space="preserve">flux-based critical levels </w:t>
      </w:r>
      <w:r w:rsidRPr="00032BD4">
        <w:rPr>
          <w:rFonts w:eastAsia="Times New Roman"/>
          <w:sz w:val="22"/>
          <w:szCs w:val="22"/>
          <w:lang w:val="en-US"/>
        </w:rPr>
        <w:t>CLef for forest protection. In a climate change context, w</w:t>
      </w:r>
      <w:r w:rsidRPr="00032BD4">
        <w:rPr>
          <w:sz w:val="22"/>
          <w:szCs w:val="22"/>
          <w:lang w:val="en-US"/>
        </w:rPr>
        <w:t xml:space="preserve">ith information in hand, policymakers can make decisions about new legislation for air pollution control strategies in </w:t>
      </w:r>
      <w:smartTag w:uri="urn:schemas-microsoft-com:office:smarttags" w:element="place">
        <w:r w:rsidRPr="00032BD4">
          <w:rPr>
            <w:sz w:val="22"/>
            <w:szCs w:val="22"/>
            <w:lang w:val="en-US"/>
          </w:rPr>
          <w:t>Europe</w:t>
        </w:r>
      </w:smartTag>
      <w:r w:rsidRPr="00032BD4">
        <w:rPr>
          <w:sz w:val="22"/>
          <w:szCs w:val="22"/>
          <w:lang w:val="en-US"/>
        </w:rPr>
        <w:t>.</w:t>
      </w:r>
    </w:p>
    <w:p w:rsidR="007F2F32" w:rsidRPr="00032BD4" w:rsidRDefault="007F2F32" w:rsidP="00EE3482">
      <w:pPr>
        <w:jc w:val="both"/>
        <w:rPr>
          <w:sz w:val="22"/>
          <w:szCs w:val="22"/>
          <w:lang w:val="en-US"/>
        </w:rPr>
      </w:pPr>
    </w:p>
    <w:p w:rsidR="007F2F32" w:rsidRPr="00032BD4" w:rsidRDefault="007F2F32" w:rsidP="00EE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n-US"/>
        </w:rPr>
      </w:pPr>
    </w:p>
    <w:p w:rsidR="007F2F32" w:rsidRPr="00032BD4" w:rsidRDefault="007F2F32" w:rsidP="00EE3482">
      <w:pPr>
        <w:rPr>
          <w:sz w:val="22"/>
          <w:szCs w:val="22"/>
          <w:lang w:val="en-US"/>
        </w:rPr>
      </w:pPr>
    </w:p>
    <w:p w:rsidR="007F2F32" w:rsidRPr="00032BD4" w:rsidRDefault="007F2F32" w:rsidP="00D93DEB">
      <w:pPr>
        <w:jc w:val="both"/>
        <w:rPr>
          <w:b/>
          <w:sz w:val="22"/>
          <w:szCs w:val="22"/>
        </w:rPr>
      </w:pPr>
      <w:r w:rsidRPr="00032BD4">
        <w:rPr>
          <w:sz w:val="22"/>
          <w:szCs w:val="22"/>
        </w:rPr>
        <w:t xml:space="preserve"> </w:t>
      </w:r>
    </w:p>
    <w:sectPr w:rsidR="007F2F32" w:rsidRPr="00032BD4" w:rsidSect="00476F0D">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Ps2OcuAe"/>
    <w:panose1 w:val="02020500000000000000"/>
    <w:charset w:val="88"/>
    <w:family w:val="roman"/>
    <w:pitch w:val="variable"/>
    <w:sig w:usb0="A00002FF" w:usb1="28CFFCFA" w:usb2="00000016" w:usb3="00000000" w:csb0="001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3DEB"/>
    <w:rsid w:val="00032BD4"/>
    <w:rsid w:val="00071AD4"/>
    <w:rsid w:val="000A4054"/>
    <w:rsid w:val="001115DD"/>
    <w:rsid w:val="001647E4"/>
    <w:rsid w:val="00205644"/>
    <w:rsid w:val="0027477D"/>
    <w:rsid w:val="002C4132"/>
    <w:rsid w:val="002C629B"/>
    <w:rsid w:val="002F2284"/>
    <w:rsid w:val="00391015"/>
    <w:rsid w:val="00463BAE"/>
    <w:rsid w:val="00476F0D"/>
    <w:rsid w:val="00496F4C"/>
    <w:rsid w:val="00593626"/>
    <w:rsid w:val="0059460C"/>
    <w:rsid w:val="00620D08"/>
    <w:rsid w:val="0067403E"/>
    <w:rsid w:val="00720613"/>
    <w:rsid w:val="00796481"/>
    <w:rsid w:val="007B3765"/>
    <w:rsid w:val="007F2F32"/>
    <w:rsid w:val="00862304"/>
    <w:rsid w:val="00871139"/>
    <w:rsid w:val="008B592A"/>
    <w:rsid w:val="008E1BE6"/>
    <w:rsid w:val="008F0C86"/>
    <w:rsid w:val="00905FAC"/>
    <w:rsid w:val="00932952"/>
    <w:rsid w:val="009E09CB"/>
    <w:rsid w:val="00AA1E86"/>
    <w:rsid w:val="00AB4E26"/>
    <w:rsid w:val="00AC3EBF"/>
    <w:rsid w:val="00AF5994"/>
    <w:rsid w:val="00B00AA6"/>
    <w:rsid w:val="00B22371"/>
    <w:rsid w:val="00BF204E"/>
    <w:rsid w:val="00C60D3E"/>
    <w:rsid w:val="00C726C3"/>
    <w:rsid w:val="00CF6258"/>
    <w:rsid w:val="00D13494"/>
    <w:rsid w:val="00D35E72"/>
    <w:rsid w:val="00D52F82"/>
    <w:rsid w:val="00D92D62"/>
    <w:rsid w:val="00D93DEB"/>
    <w:rsid w:val="00DA057E"/>
    <w:rsid w:val="00DA0DFE"/>
    <w:rsid w:val="00DA5FF9"/>
    <w:rsid w:val="00DA727F"/>
    <w:rsid w:val="00E87EE4"/>
    <w:rsid w:val="00E90105"/>
    <w:rsid w:val="00EB266D"/>
    <w:rsid w:val="00ED59C2"/>
    <w:rsid w:val="00EE3482"/>
    <w:rsid w:val="00F73184"/>
    <w:rsid w:val="00F87150"/>
    <w:rsid w:val="00F9353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s-E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DEB"/>
    <w:rPr>
      <w:rFonts w:ascii="Times New Roman" w:hAnsi="Times New Roman"/>
      <w:sz w:val="24"/>
      <w:szCs w:val="24"/>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93DEB"/>
    <w:rPr>
      <w:rFonts w:cs="Times New Roman"/>
      <w:color w:val="0000FF"/>
      <w:u w:val="single"/>
    </w:rPr>
  </w:style>
  <w:style w:type="character" w:customStyle="1" w:styleId="quoted1">
    <w:name w:val="quoted1"/>
    <w:basedOn w:val="DefaultParagraphFont"/>
    <w:uiPriority w:val="99"/>
    <w:rsid w:val="00ED59C2"/>
    <w:rPr>
      <w:rFonts w:cs="Times New Roman"/>
    </w:rPr>
  </w:style>
  <w:style w:type="character" w:styleId="Emphasis">
    <w:name w:val="Emphasis"/>
    <w:basedOn w:val="DefaultParagraphFont"/>
    <w:uiPriority w:val="99"/>
    <w:qFormat/>
    <w:locked/>
    <w:rsid w:val="00ED59C2"/>
    <w:rPr>
      <w:rFonts w:cs="Times New Roman"/>
      <w:i/>
      <w:iCs/>
    </w:rPr>
  </w:style>
  <w:style w:type="character" w:customStyle="1" w:styleId="st">
    <w:name w:val="st"/>
    <w:basedOn w:val="DefaultParagraphFont"/>
    <w:uiPriority w:val="99"/>
    <w:rsid w:val="00ED59C2"/>
    <w:rPr>
      <w:rFonts w:cs="Times New Roman"/>
    </w:rPr>
  </w:style>
  <w:style w:type="character" w:customStyle="1" w:styleId="hithilite">
    <w:name w:val="hithilite"/>
    <w:basedOn w:val="DefaultParagraphFont"/>
    <w:uiPriority w:val="99"/>
    <w:rsid w:val="00ED59C2"/>
    <w:rPr>
      <w:rFonts w:cs="Times New Roman"/>
    </w:rPr>
  </w:style>
  <w:style w:type="paragraph" w:styleId="BodyText">
    <w:name w:val="Body Text"/>
    <w:basedOn w:val="Normal"/>
    <w:link w:val="BodyTextChar"/>
    <w:uiPriority w:val="99"/>
    <w:rsid w:val="00EE3482"/>
    <w:rPr>
      <w:b/>
      <w:bCs/>
      <w:sz w:val="28"/>
      <w:lang w:val="fr-FR" w:eastAsia="fr-FR"/>
    </w:rPr>
  </w:style>
  <w:style w:type="character" w:customStyle="1" w:styleId="BodyTextChar">
    <w:name w:val="Body Text Char"/>
    <w:basedOn w:val="DefaultParagraphFont"/>
    <w:link w:val="BodyText"/>
    <w:uiPriority w:val="99"/>
    <w:locked/>
    <w:rsid w:val="00EE3482"/>
    <w:rPr>
      <w:rFonts w:ascii="Times New Roman" w:hAnsi="Times New Roman" w:cs="Times New Roman"/>
      <w:b/>
      <w:bCs/>
      <w:sz w:val="24"/>
      <w:szCs w:val="24"/>
      <w:lang w:val="fr-FR" w:eastAsia="fr-FR"/>
    </w:rPr>
  </w:style>
  <w:style w:type="paragraph" w:styleId="BodyText2">
    <w:name w:val="Body Text 2"/>
    <w:basedOn w:val="Normal"/>
    <w:link w:val="BodyText2Char"/>
    <w:uiPriority w:val="99"/>
    <w:rsid w:val="00EE3482"/>
    <w:pPr>
      <w:jc w:val="both"/>
    </w:pPr>
    <w:rPr>
      <w:lang w:val="en-US" w:eastAsia="fr-FR"/>
    </w:rPr>
  </w:style>
  <w:style w:type="character" w:customStyle="1" w:styleId="BodyText2Char">
    <w:name w:val="Body Text 2 Char"/>
    <w:basedOn w:val="DefaultParagraphFont"/>
    <w:link w:val="BodyText2"/>
    <w:uiPriority w:val="99"/>
    <w:locked/>
    <w:rsid w:val="00EE3482"/>
    <w:rPr>
      <w:rFonts w:ascii="Times New Roman" w:hAnsi="Times New Roman" w:cs="Times New Roman"/>
      <w:sz w:val="24"/>
      <w:szCs w:val="24"/>
      <w:lang w:val="en-US"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ierre.sicard@acri-st.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411</Words>
  <Characters>2263</Characters>
  <Application>Microsoft Office Outlook</Application>
  <DocSecurity>0</DocSecurity>
  <Lines>0</Lines>
  <Paragraphs>0</Paragraphs>
  <ScaleCrop>false</ScaleCrop>
  <Company>University of Western Sydney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N2-fixation by bryophyte-cyanobacteria associations in recently deglaciated areas of Tierra del Fuego (Chile): Effect of rainfall, bryophyte species identity and cyanobacteria community structure</dc:title>
  <dc:subject/>
  <dc:creator>Rebeca Zapata Guardiola</dc:creator>
  <cp:keywords/>
  <dc:description/>
  <cp:lastModifiedBy>María Arróniz</cp:lastModifiedBy>
  <cp:revision>3</cp:revision>
  <cp:lastPrinted>2012-09-18T09:12:00Z</cp:lastPrinted>
  <dcterms:created xsi:type="dcterms:W3CDTF">2014-02-25T00:21:00Z</dcterms:created>
  <dcterms:modified xsi:type="dcterms:W3CDTF">2014-05-21T12:46:00Z</dcterms:modified>
</cp:coreProperties>
</file>